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p w14:paraId="3E93F2E1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5-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lastRenderedPageBreak/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  <w:shd w:val="clear" w:color="auto" w:fill="auto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lastRenderedPageBreak/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lastRenderedPageBreak/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lastRenderedPageBreak/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</w:t>
      </w:r>
      <w:proofErr w:type="gramStart"/>
      <w:r>
        <w:t>exclamation</w:t>
      </w:r>
      <w:proofErr w:type="gramEnd"/>
      <w:r>
        <w:t xml:space="preserve">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lastRenderedPageBreak/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lastRenderedPageBreak/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lastRenderedPageBreak/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lastRenderedPageBreak/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lastRenderedPageBreak/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lastRenderedPageBreak/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lastRenderedPageBreak/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lastRenderedPageBreak/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0EF6" w14:textId="77777777" w:rsidR="001019CB" w:rsidRDefault="001019CB" w:rsidP="00B42730">
      <w:pPr>
        <w:spacing w:after="0" w:line="240" w:lineRule="auto"/>
      </w:pPr>
      <w:r>
        <w:separator/>
      </w:r>
    </w:p>
  </w:endnote>
  <w:endnote w:type="continuationSeparator" w:id="0">
    <w:p w14:paraId="31C2D20F" w14:textId="77777777" w:rsidR="001019CB" w:rsidRDefault="001019C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620C" w14:textId="77777777" w:rsidR="001019CB" w:rsidRDefault="001019CB" w:rsidP="00B42730">
      <w:pPr>
        <w:spacing w:after="0" w:line="240" w:lineRule="auto"/>
      </w:pPr>
      <w:r>
        <w:separator/>
      </w:r>
    </w:p>
  </w:footnote>
  <w:footnote w:type="continuationSeparator" w:id="0">
    <w:p w14:paraId="642F6563" w14:textId="77777777" w:rsidR="001019CB" w:rsidRDefault="001019C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28BE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3412"/>
    <w:rsid w:val="00364D2D"/>
    <w:rsid w:val="00365FC3"/>
    <w:rsid w:val="00366BA4"/>
    <w:rsid w:val="003672C7"/>
    <w:rsid w:val="00367C6C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DA4"/>
    <w:rsid w:val="00BB6F02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6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39</Pages>
  <Words>11525</Words>
  <Characters>65696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37</cp:revision>
  <cp:lastPrinted>2014-12-29T09:36:00Z</cp:lastPrinted>
  <dcterms:created xsi:type="dcterms:W3CDTF">2024-07-26T12:26:00Z</dcterms:created>
  <dcterms:modified xsi:type="dcterms:W3CDTF">2025-05-15T16:55:00Z</dcterms:modified>
</cp:coreProperties>
</file>