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5265" w14:textId="51A71CD6" w:rsidR="003F570C" w:rsidRPr="00B771B6" w:rsidRDefault="009E608A" w:rsidP="00B771B6">
      <w:pPr>
        <w:pBdr>
          <w:bottom w:val="double" w:sz="6" w:space="1" w:color="auto"/>
        </w:pBdr>
        <w:rPr>
          <w:sz w:val="28"/>
        </w:rPr>
      </w:pPr>
      <w:r w:rsidRPr="009E608A">
        <w:rPr>
          <w:b/>
          <w:sz w:val="28"/>
        </w:rPr>
        <w:t>ABS-169902</w:t>
      </w:r>
      <w:r>
        <w:rPr>
          <w:b/>
          <w:sz w:val="28"/>
        </w:rPr>
        <w:t xml:space="preserve"> - </w:t>
      </w:r>
      <w:r w:rsidRPr="009E608A">
        <w:rPr>
          <w:b/>
          <w:sz w:val="28"/>
        </w:rPr>
        <w:t>D_UBS_2554 Link Special size charge and Size surcharge pricing in contract compliancy enforce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585642B9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9076F4" w:rsidRPr="009076F4">
              <w:rPr>
                <w:b w:val="0"/>
                <w:bCs w:val="0"/>
                <w:sz w:val="20"/>
                <w:szCs w:val="20"/>
                <w:lang w:val="de-DE"/>
              </w:rPr>
              <w:t>9.0</w:t>
            </w:r>
            <w:r w:rsidR="00EA72E9">
              <w:rPr>
                <w:b w:val="0"/>
                <w:bCs w:val="0"/>
                <w:sz w:val="20"/>
                <w:szCs w:val="20"/>
                <w:lang w:val="de-DE"/>
              </w:rPr>
              <w:t>7</w:t>
            </w:r>
            <w:r w:rsidR="009076F4" w:rsidRPr="009076F4">
              <w:rPr>
                <w:b w:val="0"/>
                <w:bCs w:val="0"/>
                <w:sz w:val="20"/>
                <w:szCs w:val="20"/>
                <w:lang w:val="de-DE"/>
              </w:rPr>
              <w:t>.00.UNF1</w:t>
            </w:r>
            <w:r w:rsidR="008220D3">
              <w:rPr>
                <w:b w:val="0"/>
                <w:bCs w:val="0"/>
                <w:sz w:val="20"/>
                <w:szCs w:val="20"/>
                <w:lang w:val="de-DE"/>
              </w:rPr>
              <w:t>7.p.01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5638364D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9076F4">
              <w:rPr>
                <w:b w:val="0"/>
                <w:bCs w:val="0"/>
                <w:sz w:val="20"/>
              </w:rPr>
              <w:t>DEV</w:t>
            </w:r>
          </w:p>
          <w:p w14:paraId="4869EA6D" w14:textId="1475F216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DBPassword</w:t>
            </w:r>
            <w:proofErr w:type="spellEnd"/>
            <w:r w:rsidRPr="008F4C6C">
              <w:rPr>
                <w:b w:val="0"/>
                <w:bCs w:val="0"/>
                <w:sz w:val="20"/>
              </w:rPr>
              <w:t>= UNF</w:t>
            </w:r>
            <w:r w:rsidR="009076F4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6CBA5C67" w14:textId="01C47C6E" w:rsidR="00EA72E9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3013998" w:history="1">
            <w:r w:rsidR="00EA72E9" w:rsidRPr="00C53593">
              <w:rPr>
                <w:rStyle w:val="Hyperlink"/>
                <w:noProof/>
              </w:rPr>
              <w:t>Retest after fix</w:t>
            </w:r>
            <w:r w:rsidR="00EA72E9">
              <w:rPr>
                <w:noProof/>
                <w:webHidden/>
              </w:rPr>
              <w:tab/>
            </w:r>
            <w:r w:rsidR="00EA72E9">
              <w:rPr>
                <w:noProof/>
                <w:webHidden/>
              </w:rPr>
              <w:fldChar w:fldCharType="begin"/>
            </w:r>
            <w:r w:rsidR="00EA72E9">
              <w:rPr>
                <w:noProof/>
                <w:webHidden/>
              </w:rPr>
              <w:instrText xml:space="preserve"> PAGEREF _Toc183013998 \h </w:instrText>
            </w:r>
            <w:r w:rsidR="00EA72E9">
              <w:rPr>
                <w:noProof/>
                <w:webHidden/>
              </w:rPr>
            </w:r>
            <w:r w:rsidR="00EA72E9">
              <w:rPr>
                <w:noProof/>
                <w:webHidden/>
              </w:rPr>
              <w:fldChar w:fldCharType="separate"/>
            </w:r>
            <w:r w:rsidR="00EA72E9">
              <w:rPr>
                <w:noProof/>
                <w:webHidden/>
              </w:rPr>
              <w:t>1</w:t>
            </w:r>
            <w:r w:rsidR="00EA72E9">
              <w:rPr>
                <w:noProof/>
                <w:webHidden/>
              </w:rPr>
              <w:fldChar w:fldCharType="end"/>
            </w:r>
          </w:hyperlink>
        </w:p>
        <w:p w14:paraId="4477C3A5" w14:textId="52BFCA9B" w:rsidR="00EA72E9" w:rsidRDefault="00EA72E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3013999" w:history="1">
            <w:r w:rsidRPr="00C53593">
              <w:rPr>
                <w:rStyle w:val="Hyperlink"/>
                <w:noProof/>
              </w:rPr>
              <w:t>Test Case 1 – Link Special size charge and Size surcharge pricing in contract compliancy enforce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_Toc183013999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95DE5" w14:textId="73AE3A93" w:rsidR="00EA72E9" w:rsidRDefault="00EA72E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3014000" w:history="1">
            <w:r w:rsidRPr="00C53593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_Toc183014000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3E293" w14:textId="46B894C5" w:rsidR="00EA72E9" w:rsidRDefault="00EA72E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3014001" w:history="1">
            <w:r w:rsidRPr="00C53593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_Toc183014001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1707E6B7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83013998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4BD83E67" w:rsidR="00311354" w:rsidRDefault="00311354" w:rsidP="00311354">
      <w:pPr>
        <w:pStyle w:val="Heading2"/>
      </w:pPr>
      <w:bookmarkStart w:id="2" w:name="_Toc183013999"/>
      <w:bookmarkEnd w:id="0"/>
      <w:r>
        <w:t>Test Case 1 –</w:t>
      </w:r>
      <w:r w:rsidR="00B76ADC">
        <w:t xml:space="preserve"> </w:t>
      </w:r>
      <w:r w:rsidR="005A2CB9" w:rsidRPr="005A2CB9">
        <w:t>Link Special size charge and Size surcharge pricing in contract compliancy enforce</w:t>
      </w:r>
      <w:bookmarkEnd w:id="2"/>
    </w:p>
    <w:p w14:paraId="5C7B98EC" w14:textId="594C4F17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3517D1" w:rsidRPr="003517D1">
        <w:rPr>
          <w:bCs/>
        </w:rPr>
        <w:t>e61988f3883</w:t>
      </w:r>
    </w:p>
    <w:p w14:paraId="3613E248" w14:textId="77777777" w:rsidR="006E7C64" w:rsidRDefault="006E7C64" w:rsidP="006E7C64">
      <w:pPr>
        <w:pStyle w:val="ListParagraph"/>
        <w:numPr>
          <w:ilvl w:val="0"/>
          <w:numId w:val="10"/>
        </w:numPr>
      </w:pPr>
      <w:r>
        <w:t>Contract DLG: Components &gt; Product Settings</w:t>
      </w:r>
    </w:p>
    <w:p w14:paraId="33DCB83A" w14:textId="6AF6BC19" w:rsidR="006E7C64" w:rsidRDefault="00906E3E" w:rsidP="00906E3E">
      <w:pPr>
        <w:ind w:left="360"/>
      </w:pPr>
      <w:r>
        <w:rPr>
          <w:noProof/>
        </w:rPr>
        <w:drawing>
          <wp:inline distT="0" distB="0" distL="0" distR="0" wp14:anchorId="169AF841" wp14:editId="1A19ECDE">
            <wp:extent cx="6858000" cy="2158365"/>
            <wp:effectExtent l="0" t="0" r="0" b="0"/>
            <wp:docPr id="13834435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4353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B523" w14:textId="77777777" w:rsidR="00906E3E" w:rsidRDefault="00906E3E" w:rsidP="00906E3E"/>
    <w:p w14:paraId="5477A0AA" w14:textId="77777777" w:rsidR="00906E3E" w:rsidRDefault="00906E3E" w:rsidP="00906E3E">
      <w:pPr>
        <w:ind w:left="360"/>
      </w:pPr>
    </w:p>
    <w:p w14:paraId="2B464811" w14:textId="77777777" w:rsidR="00906E3E" w:rsidRDefault="00906E3E" w:rsidP="00906E3E">
      <w:pPr>
        <w:ind w:left="360"/>
      </w:pPr>
    </w:p>
    <w:p w14:paraId="4B34A2C0" w14:textId="77777777" w:rsidR="00906E3E" w:rsidRDefault="00906E3E" w:rsidP="00906E3E">
      <w:pPr>
        <w:ind w:left="360"/>
      </w:pPr>
    </w:p>
    <w:p w14:paraId="6C50ACF5" w14:textId="77777777" w:rsidR="00906E3E" w:rsidRDefault="00906E3E" w:rsidP="00906E3E">
      <w:pPr>
        <w:ind w:left="360"/>
      </w:pPr>
    </w:p>
    <w:p w14:paraId="32B6C8FE" w14:textId="77777777" w:rsidR="00906E3E" w:rsidRDefault="00906E3E" w:rsidP="00906E3E">
      <w:pPr>
        <w:ind w:left="360"/>
      </w:pPr>
    </w:p>
    <w:p w14:paraId="64BE360E" w14:textId="77777777" w:rsidR="00906E3E" w:rsidRDefault="00906E3E" w:rsidP="00906E3E"/>
    <w:p w14:paraId="35945B45" w14:textId="6A22D7AD" w:rsidR="006E7C64" w:rsidRDefault="006E7C64" w:rsidP="00906E3E">
      <w:pPr>
        <w:pStyle w:val="ListParagraph"/>
        <w:numPr>
          <w:ilvl w:val="0"/>
          <w:numId w:val="10"/>
        </w:numPr>
      </w:pPr>
      <w:r>
        <w:lastRenderedPageBreak/>
        <w:t xml:space="preserve">Contract DLG: See the status of Special Size Charging and Size Surcharge Pricing </w:t>
      </w:r>
    </w:p>
    <w:p w14:paraId="177E2383" w14:textId="45E5EA8D" w:rsidR="006E7C64" w:rsidRDefault="004F2E22" w:rsidP="00906E3E">
      <w:pPr>
        <w:ind w:left="360"/>
      </w:pPr>
      <w:r>
        <w:rPr>
          <w:noProof/>
        </w:rPr>
        <w:drawing>
          <wp:inline distT="0" distB="0" distL="0" distR="0" wp14:anchorId="2063EE14" wp14:editId="7313029E">
            <wp:extent cx="4957763" cy="2377430"/>
            <wp:effectExtent l="0" t="0" r="0" b="4445"/>
            <wp:docPr id="14929509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5094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880" cy="2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B055F" w14:textId="77777777" w:rsidR="00906E3E" w:rsidRDefault="00906E3E" w:rsidP="00906E3E"/>
    <w:p w14:paraId="5D2509F7" w14:textId="77777777" w:rsidR="006E7C64" w:rsidRDefault="006E7C64" w:rsidP="006E7C64">
      <w:pPr>
        <w:pStyle w:val="ListParagraph"/>
        <w:numPr>
          <w:ilvl w:val="0"/>
          <w:numId w:val="10"/>
        </w:numPr>
      </w:pPr>
      <w:r>
        <w:t>Check that both are compliant</w:t>
      </w:r>
    </w:p>
    <w:p w14:paraId="70FC3D77" w14:textId="1F2AC04D" w:rsidR="006E7C64" w:rsidRDefault="004F2E22" w:rsidP="00906E3E">
      <w:pPr>
        <w:ind w:left="360"/>
      </w:pPr>
      <w:r>
        <w:rPr>
          <w:noProof/>
        </w:rPr>
        <w:drawing>
          <wp:inline distT="0" distB="0" distL="0" distR="0" wp14:anchorId="462000BF" wp14:editId="2405C2D8">
            <wp:extent cx="4876801" cy="2438400"/>
            <wp:effectExtent l="0" t="0" r="0" b="0"/>
            <wp:docPr id="775251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514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5210" cy="24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5A8C" w14:textId="77777777" w:rsidR="006E7C64" w:rsidRDefault="006E7C64" w:rsidP="00906E3E"/>
    <w:p w14:paraId="17CEFE49" w14:textId="2878D6C7" w:rsidR="006E7C64" w:rsidRDefault="006E7C64" w:rsidP="006E7C64">
      <w:pPr>
        <w:pStyle w:val="ListParagraph"/>
        <w:numPr>
          <w:ilvl w:val="0"/>
          <w:numId w:val="10"/>
        </w:numPr>
      </w:pPr>
      <w:r>
        <w:t>Customers DLG: Garment Charges check that both “Product/Size Surcharge Pricing” and “Product Special Size Charging” are as set-up in the contract at step 3</w:t>
      </w:r>
    </w:p>
    <w:p w14:paraId="7AFDFA54" w14:textId="33456642" w:rsidR="006E7C64" w:rsidRDefault="004F2E22" w:rsidP="00906E3E">
      <w:pPr>
        <w:ind w:left="360"/>
      </w:pPr>
      <w:r>
        <w:rPr>
          <w:noProof/>
        </w:rPr>
        <w:drawing>
          <wp:inline distT="0" distB="0" distL="0" distR="0" wp14:anchorId="0870C274" wp14:editId="1E1B3CDE">
            <wp:extent cx="6858000" cy="1478915"/>
            <wp:effectExtent l="0" t="0" r="0" b="6985"/>
            <wp:docPr id="3455613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6132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13600" w14:textId="77777777" w:rsidR="004F2E22" w:rsidRDefault="004F2E22" w:rsidP="00906E3E">
      <w:pPr>
        <w:ind w:left="360"/>
      </w:pPr>
    </w:p>
    <w:p w14:paraId="6CD02775" w14:textId="77777777" w:rsidR="00906E3E" w:rsidRDefault="00906E3E" w:rsidP="00906E3E">
      <w:pPr>
        <w:ind w:left="360"/>
      </w:pPr>
    </w:p>
    <w:p w14:paraId="7C79511D" w14:textId="77777777" w:rsidR="006E7C64" w:rsidRDefault="006E7C64" w:rsidP="006E7C64">
      <w:pPr>
        <w:pStyle w:val="ListParagraph"/>
        <w:numPr>
          <w:ilvl w:val="0"/>
          <w:numId w:val="10"/>
        </w:numPr>
      </w:pPr>
      <w:r>
        <w:lastRenderedPageBreak/>
        <w:t>Contract DLG: Change one option to another ex: from Special Size Charging active to Size Surcharge Pricing active (both cannot be active at the same time)</w:t>
      </w:r>
    </w:p>
    <w:p w14:paraId="5529B541" w14:textId="75D12E78" w:rsidR="006E7C64" w:rsidRDefault="004F2E22" w:rsidP="00906E3E">
      <w:pPr>
        <w:ind w:left="360"/>
      </w:pPr>
      <w:r>
        <w:rPr>
          <w:noProof/>
        </w:rPr>
        <w:drawing>
          <wp:inline distT="0" distB="0" distL="0" distR="0" wp14:anchorId="74F0A8CD" wp14:editId="19AF71AF">
            <wp:extent cx="6858000" cy="3288665"/>
            <wp:effectExtent l="0" t="0" r="0" b="6985"/>
            <wp:docPr id="10820715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71541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E840C" w14:textId="77777777" w:rsidR="00906E3E" w:rsidRDefault="00906E3E" w:rsidP="00906E3E">
      <w:pPr>
        <w:ind w:left="360"/>
      </w:pPr>
    </w:p>
    <w:p w14:paraId="3C1B51DC" w14:textId="77777777" w:rsidR="006E7C64" w:rsidRDefault="006E7C64" w:rsidP="006E7C64">
      <w:pPr>
        <w:pStyle w:val="ListParagraph"/>
        <w:numPr>
          <w:ilvl w:val="0"/>
          <w:numId w:val="10"/>
        </w:numPr>
      </w:pPr>
      <w:r>
        <w:t xml:space="preserve">Change the compliancy of Size Surcharge Pricing to compliant </w:t>
      </w:r>
    </w:p>
    <w:p w14:paraId="7F203731" w14:textId="396E1E36" w:rsidR="006E7C64" w:rsidRDefault="004F2E22" w:rsidP="00906E3E">
      <w:pPr>
        <w:ind w:left="360"/>
      </w:pPr>
      <w:r>
        <w:rPr>
          <w:noProof/>
        </w:rPr>
        <w:drawing>
          <wp:inline distT="0" distB="0" distL="0" distR="0" wp14:anchorId="5089D97B" wp14:editId="2514FACA">
            <wp:extent cx="6858000" cy="3482975"/>
            <wp:effectExtent l="0" t="0" r="0" b="3175"/>
            <wp:docPr id="12172715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27154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5679" w14:textId="77777777" w:rsidR="00906E3E" w:rsidRDefault="00906E3E" w:rsidP="00906E3E">
      <w:pPr>
        <w:ind w:left="360"/>
      </w:pPr>
    </w:p>
    <w:p w14:paraId="6C442743" w14:textId="77777777" w:rsidR="00906E3E" w:rsidRDefault="00906E3E" w:rsidP="00906E3E">
      <w:pPr>
        <w:ind w:left="360"/>
      </w:pPr>
    </w:p>
    <w:p w14:paraId="7B566392" w14:textId="77777777" w:rsidR="004F2E22" w:rsidRDefault="004F2E22" w:rsidP="00906E3E">
      <w:pPr>
        <w:ind w:left="360"/>
      </w:pPr>
    </w:p>
    <w:p w14:paraId="2DB57183" w14:textId="77777777" w:rsidR="004F2E22" w:rsidRDefault="004F2E22" w:rsidP="00906E3E">
      <w:pPr>
        <w:ind w:left="360"/>
      </w:pPr>
    </w:p>
    <w:p w14:paraId="11F23D94" w14:textId="77777777" w:rsidR="006E7C64" w:rsidRDefault="006E7C64" w:rsidP="006E7C64">
      <w:pPr>
        <w:pStyle w:val="ListParagraph"/>
        <w:numPr>
          <w:ilvl w:val="0"/>
          <w:numId w:val="10"/>
        </w:numPr>
      </w:pPr>
      <w:r>
        <w:lastRenderedPageBreak/>
        <w:t>Customer DLG: Check the status of the “Product/Size Surcharge Pricing” and “Product Special Size Charging”</w:t>
      </w:r>
    </w:p>
    <w:p w14:paraId="1531041A" w14:textId="4C78FE60" w:rsidR="006E7C64" w:rsidRDefault="004F2E22" w:rsidP="00906E3E">
      <w:pPr>
        <w:ind w:left="360"/>
      </w:pPr>
      <w:r>
        <w:rPr>
          <w:noProof/>
        </w:rPr>
        <w:drawing>
          <wp:inline distT="0" distB="0" distL="0" distR="0" wp14:anchorId="58C382CA" wp14:editId="1913B0B4">
            <wp:extent cx="6858000" cy="1461135"/>
            <wp:effectExtent l="0" t="0" r="0" b="5715"/>
            <wp:docPr id="2578291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2915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BAFDE" w14:textId="158A1AAE" w:rsidR="006E7C64" w:rsidRPr="006E7C64" w:rsidRDefault="006E7C64" w:rsidP="006E7C64">
      <w:pPr>
        <w:rPr>
          <w:b/>
          <w:bCs/>
          <w:color w:val="00B050"/>
        </w:rPr>
      </w:pPr>
      <w:r w:rsidRPr="006E7C64">
        <w:rPr>
          <w:b/>
          <w:bCs/>
          <w:color w:val="00B050"/>
        </w:rPr>
        <w:t>Tested OK</w:t>
      </w:r>
    </w:p>
    <w:p w14:paraId="35997285" w14:textId="77777777" w:rsidR="006E7C64" w:rsidRPr="00311354" w:rsidRDefault="006E7C64" w:rsidP="006E7C64">
      <w:pPr>
        <w:pStyle w:val="Heading2"/>
        <w:rPr>
          <w:u w:val="single"/>
        </w:rPr>
      </w:pPr>
      <w:bookmarkStart w:id="3" w:name="_Toc183014000"/>
      <w:r w:rsidRPr="00311354">
        <w:rPr>
          <w:u w:val="single"/>
        </w:rPr>
        <w:t>Current Behavior</w:t>
      </w:r>
      <w:bookmarkEnd w:id="3"/>
    </w:p>
    <w:p w14:paraId="5D20582B" w14:textId="77777777" w:rsidR="006E7C64" w:rsidRPr="00D464F3" w:rsidRDefault="006E7C64" w:rsidP="006E7C64">
      <w:r w:rsidRPr="00C53F94">
        <w:t>As the 2 fields Special Size Charge and Size Surcharge Pricing are mutually exclusive, enforcing compliancy on one of them should enforce compliancy on the other.</w:t>
      </w:r>
    </w:p>
    <w:p w14:paraId="3FB7A10F" w14:textId="77777777" w:rsidR="006E7C64" w:rsidRPr="00311354" w:rsidRDefault="006E7C64" w:rsidP="006E7C64">
      <w:pPr>
        <w:pStyle w:val="Heading2"/>
        <w:rPr>
          <w:u w:val="single"/>
        </w:rPr>
      </w:pPr>
      <w:bookmarkStart w:id="4" w:name="_Toc183014001"/>
      <w:r w:rsidRPr="00311354">
        <w:rPr>
          <w:u w:val="single"/>
        </w:rPr>
        <w:t>Expected behavior</w:t>
      </w:r>
      <w:bookmarkEnd w:id="4"/>
    </w:p>
    <w:p w14:paraId="02AA8A14" w14:textId="77777777" w:rsidR="006E7C64" w:rsidRPr="00D464F3" w:rsidRDefault="006E7C64" w:rsidP="006E7C64">
      <w:r w:rsidRPr="00C53F94">
        <w:t>As the 2 fields Special Size Charge and Size Surcharge Pricing are mutually exclusive, enforcing compliancy on one of them should enforce compliancy on the other.</w:t>
      </w:r>
    </w:p>
    <w:p w14:paraId="44A3F008" w14:textId="520EE6E6" w:rsidR="00B76ADC" w:rsidRDefault="00B76ADC" w:rsidP="005A2CB9">
      <w:pPr>
        <w:ind w:left="360"/>
      </w:pPr>
    </w:p>
    <w:sectPr w:rsidR="00B76ADC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C3019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7"/>
  </w:num>
  <w:num w:numId="2" w16cid:durableId="404381331">
    <w:abstractNumId w:val="5"/>
  </w:num>
  <w:num w:numId="3" w16cid:durableId="1565140028">
    <w:abstractNumId w:val="4"/>
  </w:num>
  <w:num w:numId="4" w16cid:durableId="2029332358">
    <w:abstractNumId w:val="3"/>
  </w:num>
  <w:num w:numId="5" w16cid:durableId="729035291">
    <w:abstractNumId w:val="9"/>
  </w:num>
  <w:num w:numId="6" w16cid:durableId="372970827">
    <w:abstractNumId w:val="1"/>
  </w:num>
  <w:num w:numId="7" w16cid:durableId="1864175007">
    <w:abstractNumId w:val="0"/>
  </w:num>
  <w:num w:numId="8" w16cid:durableId="1296444949">
    <w:abstractNumId w:val="2"/>
  </w:num>
  <w:num w:numId="9" w16cid:durableId="1603806149">
    <w:abstractNumId w:val="8"/>
  </w:num>
  <w:num w:numId="10" w16cid:durableId="1888688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65D9"/>
    <w:rsid w:val="00202A86"/>
    <w:rsid w:val="002213CD"/>
    <w:rsid w:val="00246FFB"/>
    <w:rsid w:val="002824D7"/>
    <w:rsid w:val="002E59C4"/>
    <w:rsid w:val="003016C7"/>
    <w:rsid w:val="00311354"/>
    <w:rsid w:val="0035010A"/>
    <w:rsid w:val="003517D1"/>
    <w:rsid w:val="00351AE7"/>
    <w:rsid w:val="003B060B"/>
    <w:rsid w:val="003C12EF"/>
    <w:rsid w:val="003F570C"/>
    <w:rsid w:val="004A3493"/>
    <w:rsid w:val="004A6E88"/>
    <w:rsid w:val="004C3942"/>
    <w:rsid w:val="004C5C3D"/>
    <w:rsid w:val="004F2E22"/>
    <w:rsid w:val="00552CA9"/>
    <w:rsid w:val="00576949"/>
    <w:rsid w:val="005A2CB9"/>
    <w:rsid w:val="005E2622"/>
    <w:rsid w:val="00614241"/>
    <w:rsid w:val="006A4667"/>
    <w:rsid w:val="006B3D2D"/>
    <w:rsid w:val="006E72EB"/>
    <w:rsid w:val="006E7C64"/>
    <w:rsid w:val="0071241E"/>
    <w:rsid w:val="00726ED7"/>
    <w:rsid w:val="0074243C"/>
    <w:rsid w:val="0074474A"/>
    <w:rsid w:val="007508DD"/>
    <w:rsid w:val="00773F90"/>
    <w:rsid w:val="007E6456"/>
    <w:rsid w:val="00810095"/>
    <w:rsid w:val="008220D3"/>
    <w:rsid w:val="008421CA"/>
    <w:rsid w:val="00871B25"/>
    <w:rsid w:val="008867C0"/>
    <w:rsid w:val="008A7589"/>
    <w:rsid w:val="008C5EE4"/>
    <w:rsid w:val="008F7AB6"/>
    <w:rsid w:val="009055A8"/>
    <w:rsid w:val="00906E3E"/>
    <w:rsid w:val="009076F4"/>
    <w:rsid w:val="00937B9B"/>
    <w:rsid w:val="00986999"/>
    <w:rsid w:val="009B235B"/>
    <w:rsid w:val="009E608A"/>
    <w:rsid w:val="009E6B9B"/>
    <w:rsid w:val="00B0148C"/>
    <w:rsid w:val="00B01542"/>
    <w:rsid w:val="00B76ADC"/>
    <w:rsid w:val="00B771B6"/>
    <w:rsid w:val="00B91530"/>
    <w:rsid w:val="00BC1CCC"/>
    <w:rsid w:val="00C2244E"/>
    <w:rsid w:val="00C22EDD"/>
    <w:rsid w:val="00C36C78"/>
    <w:rsid w:val="00C53F94"/>
    <w:rsid w:val="00C7443B"/>
    <w:rsid w:val="00C95EFA"/>
    <w:rsid w:val="00CA0CB3"/>
    <w:rsid w:val="00CB5B32"/>
    <w:rsid w:val="00D20FBB"/>
    <w:rsid w:val="00D26060"/>
    <w:rsid w:val="00D464F3"/>
    <w:rsid w:val="00D81039"/>
    <w:rsid w:val="00DB7EF2"/>
    <w:rsid w:val="00E271B9"/>
    <w:rsid w:val="00E340A6"/>
    <w:rsid w:val="00EA72E9"/>
    <w:rsid w:val="00EB7289"/>
    <w:rsid w:val="00EC0235"/>
    <w:rsid w:val="00EF0ACD"/>
    <w:rsid w:val="00F34A86"/>
    <w:rsid w:val="00F4185B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64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4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29</cp:revision>
  <dcterms:created xsi:type="dcterms:W3CDTF">2020-12-02T12:52:00Z</dcterms:created>
  <dcterms:modified xsi:type="dcterms:W3CDTF">2024-11-20T15:49:00Z</dcterms:modified>
</cp:coreProperties>
</file>