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8EA9688" w14:textId="61372EC0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0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1" w:name="OLE_LINK8"/>
      <w:r>
        <w:t xml:space="preserve">Fixed problem </w:t>
      </w:r>
      <w:bookmarkEnd w:id="1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 xml:space="preserve">Fixed </w:t>
      </w:r>
      <w:r>
        <w:t xml:space="preserve">a </w:t>
      </w:r>
      <w:r>
        <w:t xml:space="preserve">problem </w:t>
      </w:r>
      <w:r>
        <w:t>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 xml:space="preserve">Fixed </w:t>
      </w:r>
      <w:r>
        <w:t xml:space="preserve">a </w:t>
      </w:r>
      <w:r>
        <w:t xml:space="preserve">problem </w:t>
      </w:r>
      <w:r>
        <w:t>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0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2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OLE_LINK3"/>
            <w:bookmarkEnd w:id="2"/>
            <w:r>
              <w:rPr>
                <w:sz w:val="20"/>
                <w:szCs w:val="24"/>
              </w:rPr>
              <w:t>Changes:</w:t>
            </w:r>
          </w:p>
          <w:bookmarkEnd w:id="3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lastRenderedPageBreak/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4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4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lastRenderedPageBreak/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F5B6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400B" w14:textId="77777777" w:rsidR="00CF5B68" w:rsidRDefault="00CF5B68" w:rsidP="00B42730">
      <w:pPr>
        <w:spacing w:after="0" w:line="240" w:lineRule="auto"/>
      </w:pPr>
      <w:r>
        <w:separator/>
      </w:r>
    </w:p>
  </w:endnote>
  <w:endnote w:type="continuationSeparator" w:id="0">
    <w:p w14:paraId="55CD34B6" w14:textId="77777777" w:rsidR="00CF5B68" w:rsidRDefault="00CF5B6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F850" w14:textId="77777777" w:rsidR="00CF5B68" w:rsidRDefault="00CF5B68" w:rsidP="00B42730">
      <w:pPr>
        <w:spacing w:after="0" w:line="240" w:lineRule="auto"/>
      </w:pPr>
      <w:r>
        <w:separator/>
      </w:r>
    </w:p>
  </w:footnote>
  <w:footnote w:type="continuationSeparator" w:id="0">
    <w:p w14:paraId="24E1991B" w14:textId="77777777" w:rsidR="00CF5B68" w:rsidRDefault="00CF5B6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3"/>
  </w:num>
  <w:num w:numId="20">
    <w:abstractNumId w:val="14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C34"/>
    <w:rsid w:val="00027A8D"/>
    <w:rsid w:val="0003298A"/>
    <w:rsid w:val="00033959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45EE4"/>
    <w:rsid w:val="00246824"/>
    <w:rsid w:val="00251BF0"/>
    <w:rsid w:val="00254B8C"/>
    <w:rsid w:val="00254BD4"/>
    <w:rsid w:val="00257719"/>
    <w:rsid w:val="00262E08"/>
    <w:rsid w:val="00265A8B"/>
    <w:rsid w:val="00271A8B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1483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3B06"/>
    <w:rsid w:val="00533C2E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3D6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378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33EBD"/>
    <w:rsid w:val="0084007F"/>
    <w:rsid w:val="00844BD7"/>
    <w:rsid w:val="00851F83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718"/>
    <w:rsid w:val="009E7293"/>
    <w:rsid w:val="009E7902"/>
    <w:rsid w:val="009F3024"/>
    <w:rsid w:val="009F4B04"/>
    <w:rsid w:val="009F560F"/>
    <w:rsid w:val="009F710A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5D48"/>
    <w:rsid w:val="00B54734"/>
    <w:rsid w:val="00B65B05"/>
    <w:rsid w:val="00B748DA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6AD"/>
    <w:rsid w:val="00E34CD7"/>
    <w:rsid w:val="00E377F5"/>
    <w:rsid w:val="00E4066F"/>
    <w:rsid w:val="00E41267"/>
    <w:rsid w:val="00E452E2"/>
    <w:rsid w:val="00E4605D"/>
    <w:rsid w:val="00E46481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8C7"/>
    <w:rsid w:val="00E95940"/>
    <w:rsid w:val="00E9785B"/>
    <w:rsid w:val="00EA2B66"/>
    <w:rsid w:val="00EB2D6B"/>
    <w:rsid w:val="00EB5274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293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25</Pages>
  <Words>7604</Words>
  <Characters>43348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28</cp:revision>
  <cp:lastPrinted>2014-12-29T09:36:00Z</cp:lastPrinted>
  <dcterms:created xsi:type="dcterms:W3CDTF">2020-11-25T15:07:00Z</dcterms:created>
  <dcterms:modified xsi:type="dcterms:W3CDTF">2021-09-30T11:11:00Z</dcterms:modified>
</cp:coreProperties>
</file>